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E7" w:rsidRDefault="00B748E7" w:rsidP="00B748E7">
      <w:pPr>
        <w:pStyle w:val="1"/>
      </w:pPr>
      <w:r>
        <w:t>(99-99-0)4-硝基甲苯的理化及危险特性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16"/>
        <w:gridCol w:w="2599"/>
        <w:gridCol w:w="2170"/>
      </w:tblGrid>
      <w:tr w:rsidR="00B748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4-硝基甲苯；</w:t>
            </w:r>
            <w:r>
              <w:rPr>
                <w:rFonts w:ascii="宋体" w:hAnsi="宋体" w:hint="eastAsia"/>
                <w:szCs w:val="18"/>
              </w:rPr>
              <w:t>对硝基甲苯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4-nitrotoluene</w:t>
            </w:r>
            <w:r>
              <w:rPr>
                <w:rFonts w:ascii="宋体" w:hAnsi="宋体" w:hint="eastAsia"/>
                <w:szCs w:val="18"/>
                <w:lang w:val="en-GB"/>
              </w:rPr>
              <w:t>；</w:t>
            </w:r>
            <w:r>
              <w:rPr>
                <w:rFonts w:ascii="宋体" w:hAnsi="宋体" w:hint="eastAsia"/>
                <w:szCs w:val="18"/>
              </w:rPr>
              <w:t>p-nitrotoluene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  <w:vertAlign w:val="subscript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7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7</w:t>
            </w:r>
            <w:r>
              <w:rPr>
                <w:rFonts w:ascii="宋体" w:hAnsi="宋体" w:hint="eastAsia"/>
                <w:szCs w:val="18"/>
              </w:rPr>
              <w:t>NO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137.14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UN编号：1664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61058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CAS号：99-99-0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淡黄色结晶。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不溶于水，易溶于醇、醚、苯。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熔点（℃）：51.9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沸点（℃）：238.3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相对密度（水＝1）：1.29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相对密度（空气＝1）：4.72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饱和蒸气压（kPa）：0.13(53.7℃)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燃烧热（kJ/mol）：3714.3</w:t>
            </w:r>
          </w:p>
        </w:tc>
      </w:tr>
      <w:tr w:rsidR="00B748E7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引燃温度（℃）：390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一氧化碳、二氧化碳。氧化氮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 xml:space="preserve"> 强氧化剂、强还原剂、强碱。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危险特性：易燃，遇明火、高热或与氧化剂接触，有引起燃烧爆炸的危险。受高热分解放出有毒的气体。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灭火方法：消防人员须佩戴防毒面具、穿全身消防服，在上风向灭火。灭火剂：泡沫、干粉、二氧化碳。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：1960 mg/kg(大鼠经口)；16000 mg/kg(大鼠经皮) 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B748E7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B748E7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对眼睛、呼吸道和皮肤有刺激作用。吸收进入体内可引起高铁血红蛋白血症，出现紫绀。严重中毒者可致死。 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皮肤接触：立即脱去污染的衣着，用肥皂水和清水彻底冲洗皮肤。就医。     ※眼睛接触：提起眼睑，用流动清水或生理盐水冲洗。就医。     ※吸入：迅速脱离现场至空气新鲜处。保持呼吸道通畅。如呼吸困难，给输氧。如呼吸停止，立即进行人工呼吸。就医。     ※食入：饮足量温水，催吐。就医。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严加密闭，提供充分的局部排风。提供安全淋浴和洗眼设备。</w:t>
            </w:r>
            <w:r>
              <w:rPr>
                <w:rFonts w:ascii="宋体" w:hAnsi="宋体" w:hint="eastAsia"/>
              </w:rPr>
              <w:t xml:space="preserve">  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可能接触其粉尘时，建议佩戴自吸过滤式防尘口罩。紧急事态抢救或撤离时，佩戴空气呼吸器。</w:t>
            </w:r>
            <w:r>
              <w:rPr>
                <w:rFonts w:ascii="宋体" w:hAnsi="宋体" w:hint="eastAsia"/>
              </w:rPr>
              <w:t xml:space="preserve">      ※眼睛防护：</w:t>
            </w:r>
            <w:r>
              <w:rPr>
                <w:rFonts w:ascii="宋体" w:hAnsi="宋体" w:hint="eastAsia"/>
                <w:szCs w:val="18"/>
              </w:rPr>
              <w:t>戴安全防护眼镜。</w:t>
            </w:r>
            <w:r>
              <w:rPr>
                <w:rFonts w:ascii="宋体" w:hAnsi="宋体" w:hint="eastAsia"/>
              </w:rPr>
              <w:t xml:space="preserve">     ※身体防护：穿透气型防毒服。     ※手防护：戴橡胶手套。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工作现场禁止吸烟、进食和饮水。及时换洗工作服。工作前后不饮酒，用温水洗澡。实行就业前和定期的体检。 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防尘面具（全面罩）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 w:rsidR="00B748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E7" w:rsidRDefault="00B748E7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包装密封。应与氧化剂、还原剂、碱类、食用化学品分开存放，切忌混储。配备相应品种和数量的消防器材。储区应备有合适的材料收容泄漏物。应严格执行极毒物品“五双”管理制度。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E7"/>
    <w:rsid w:val="00B748E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6E77D-801C-4DFC-845E-A99255D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748E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748E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zyhq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